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5C9" w:rsidRPr="00800E67" w:rsidRDefault="002A35C9" w:rsidP="00CA133B">
      <w:pPr>
        <w:pStyle w:val="Kopfzeile"/>
        <w:suppressLineNumbers/>
        <w:pBdr>
          <w:bottom w:val="single" w:sz="4" w:space="1" w:color="808080" w:themeColor="background1" w:themeShade="80"/>
        </w:pBdr>
        <w:tabs>
          <w:tab w:val="left" w:pos="6804"/>
        </w:tabs>
        <w:spacing w:line="276" w:lineRule="auto"/>
        <w:rPr>
          <w:rFonts w:eastAsiaTheme="majorEastAsia"/>
          <w:color w:val="000000" w:themeColor="text1"/>
          <w:sz w:val="22"/>
          <w:szCs w:val="22"/>
        </w:rPr>
      </w:pPr>
      <w:bookmarkStart w:id="0" w:name="_GoBack"/>
      <w:bookmarkEnd w:id="0"/>
      <w:r>
        <w:rPr>
          <w:rFonts w:eastAsiaTheme="majorEastAsia"/>
          <w:b/>
          <w:color w:val="000000" w:themeColor="text1"/>
          <w:sz w:val="22"/>
          <w:szCs w:val="22"/>
        </w:rPr>
        <w:t>Flucht und Neuanfang</w:t>
      </w:r>
      <w:r w:rsidRPr="00574DAF">
        <w:rPr>
          <w:rFonts w:eastAsiaTheme="majorEastAsia"/>
          <w:b/>
          <w:color w:val="000000" w:themeColor="text1"/>
          <w:sz w:val="22"/>
          <w:szCs w:val="22"/>
        </w:rPr>
        <w:t xml:space="preserve"> </w:t>
      </w:r>
      <w:r>
        <w:rPr>
          <w:rFonts w:eastAsiaTheme="majorEastAsia"/>
          <w:color w:val="000000" w:themeColor="text1"/>
          <w:sz w:val="22"/>
          <w:szCs w:val="22"/>
        </w:rPr>
        <w:t>Vergil</w:t>
      </w:r>
      <w:r w:rsidRPr="001C47E6">
        <w:rPr>
          <w:rFonts w:eastAsiaTheme="majorEastAsia"/>
          <w:color w:val="000000" w:themeColor="text1"/>
          <w:sz w:val="22"/>
          <w:szCs w:val="22"/>
        </w:rPr>
        <w:t xml:space="preserve">, </w:t>
      </w:r>
      <w:r>
        <w:rPr>
          <w:rFonts w:eastAsiaTheme="majorEastAsia"/>
          <w:i/>
          <w:color w:val="000000" w:themeColor="text1"/>
          <w:sz w:val="22"/>
          <w:szCs w:val="22"/>
        </w:rPr>
        <w:t>Aeneis</w:t>
      </w:r>
      <w:r w:rsidRPr="00800E67">
        <w:rPr>
          <w:rFonts w:eastAsiaTheme="majorEastAsia"/>
          <w:color w:val="000000" w:themeColor="text1"/>
          <w:sz w:val="22"/>
          <w:szCs w:val="22"/>
        </w:rPr>
        <w:t xml:space="preserve">       </w:t>
      </w:r>
      <w:r w:rsidRPr="00800E67">
        <w:rPr>
          <w:rFonts w:eastAsiaTheme="majorEastAsia"/>
          <w:color w:val="000000" w:themeColor="text1"/>
          <w:sz w:val="22"/>
          <w:szCs w:val="22"/>
        </w:rPr>
        <w:tab/>
      </w:r>
    </w:p>
    <w:p w:rsidR="002A35C9" w:rsidRDefault="002A35C9" w:rsidP="00CA133B">
      <w:pPr>
        <w:suppressLineNumbers/>
        <w:spacing w:after="120"/>
      </w:pPr>
    </w:p>
    <w:p w:rsidR="00F45923" w:rsidRPr="00632F6A" w:rsidRDefault="002A35C9" w:rsidP="00F45923">
      <w:pPr>
        <w:suppressLineNumbers/>
        <w:spacing w:after="0"/>
        <w:jc w:val="center"/>
        <w:rPr>
          <w:rFonts w:cs="Arial"/>
          <w:b/>
          <w:sz w:val="36"/>
          <w:szCs w:val="36"/>
        </w:rPr>
      </w:pPr>
      <w:r w:rsidRPr="00632F6A">
        <w:rPr>
          <w:rFonts w:cs="Arial"/>
          <w:b/>
          <w:sz w:val="36"/>
          <w:szCs w:val="36"/>
        </w:rPr>
        <w:t>Gattung</w:t>
      </w:r>
      <w:r w:rsidR="007F2AE2" w:rsidRPr="00632F6A">
        <w:rPr>
          <w:rFonts w:cs="Arial"/>
          <w:b/>
          <w:sz w:val="36"/>
          <w:szCs w:val="36"/>
        </w:rPr>
        <w:t>s</w:t>
      </w:r>
      <w:r w:rsidR="00F45923" w:rsidRPr="00632F6A">
        <w:rPr>
          <w:rFonts w:cs="Arial"/>
          <w:b/>
          <w:sz w:val="36"/>
          <w:szCs w:val="36"/>
        </w:rPr>
        <w:t>merkmale</w:t>
      </w:r>
      <w:r w:rsidRPr="00632F6A">
        <w:rPr>
          <w:rFonts w:cs="Arial"/>
          <w:b/>
          <w:sz w:val="36"/>
          <w:szCs w:val="36"/>
        </w:rPr>
        <w:t xml:space="preserve"> und </w:t>
      </w:r>
      <w:r w:rsidR="00F45923" w:rsidRPr="00632F6A">
        <w:rPr>
          <w:rFonts w:cs="Arial"/>
          <w:b/>
          <w:sz w:val="36"/>
          <w:szCs w:val="36"/>
        </w:rPr>
        <w:t>Stilelemente</w:t>
      </w:r>
      <w:r w:rsidRPr="00632F6A">
        <w:rPr>
          <w:rFonts w:cs="Arial"/>
          <w:b/>
          <w:sz w:val="36"/>
          <w:szCs w:val="36"/>
        </w:rPr>
        <w:t xml:space="preserve"> </w:t>
      </w:r>
    </w:p>
    <w:p w:rsidR="002A35C9" w:rsidRPr="00632F6A" w:rsidRDefault="008769BD" w:rsidP="00CA133B">
      <w:pPr>
        <w:suppressLineNumbers/>
        <w:spacing w:after="240"/>
        <w:jc w:val="center"/>
        <w:rPr>
          <w:rFonts w:cs="Arial"/>
          <w:b/>
          <w:i/>
          <w:sz w:val="36"/>
          <w:szCs w:val="36"/>
        </w:rPr>
      </w:pPr>
      <w:r w:rsidRPr="00632F6A">
        <w:rPr>
          <w:rFonts w:cs="Arial"/>
          <w:b/>
          <w:sz w:val="36"/>
          <w:szCs w:val="36"/>
        </w:rPr>
        <w:t>in</w:t>
      </w:r>
      <w:r w:rsidR="002A35C9" w:rsidRPr="00632F6A">
        <w:rPr>
          <w:rFonts w:cs="Arial"/>
          <w:b/>
          <w:sz w:val="36"/>
          <w:szCs w:val="36"/>
        </w:rPr>
        <w:t xml:space="preserve"> Vergils </w:t>
      </w:r>
      <w:r w:rsidR="002A35C9" w:rsidRPr="00632F6A">
        <w:rPr>
          <w:rFonts w:cs="Arial"/>
          <w:b/>
          <w:i/>
          <w:sz w:val="36"/>
          <w:szCs w:val="36"/>
        </w:rPr>
        <w:t>Aeneis</w:t>
      </w:r>
    </w:p>
    <w:p w:rsidR="002A35C9" w:rsidRDefault="00CA133B" w:rsidP="002E1387">
      <w:pPr>
        <w:spacing w:after="200" w:line="276" w:lineRule="auto"/>
        <w:jc w:val="both"/>
      </w:pPr>
      <w:r>
        <w:t xml:space="preserve">Anders als in seinen vorangegangen Werken gibt Vergil in der </w:t>
      </w:r>
      <w:r>
        <w:rPr>
          <w:i/>
        </w:rPr>
        <w:t xml:space="preserve">Aeneis </w:t>
      </w:r>
      <w:r>
        <w:t xml:space="preserve">keinen </w:t>
      </w:r>
      <w:r w:rsidRPr="002E1387">
        <w:rPr>
          <w:i/>
        </w:rPr>
        <w:t>expliziten</w:t>
      </w:r>
      <w:r>
        <w:t xml:space="preserve"> Hinweis darauf, welcher Gattung dieser Text zuzuordnen ist. </w:t>
      </w:r>
      <w:r w:rsidR="005C6881">
        <w:t xml:space="preserve">Doch </w:t>
      </w:r>
      <w:r w:rsidR="005C6881" w:rsidRPr="002E1387">
        <w:rPr>
          <w:i/>
        </w:rPr>
        <w:t>implizit</w:t>
      </w:r>
      <w:r w:rsidR="005C6881">
        <w:t xml:space="preserve"> macht </w:t>
      </w:r>
      <w:r w:rsidR="002E1387">
        <w:t>er</w:t>
      </w:r>
      <w:r w:rsidR="005C6881">
        <w:t xml:space="preserve"> schon mit den ersten Versen klar, in welche </w:t>
      </w:r>
      <w:r w:rsidR="002E1387">
        <w:t>„</w:t>
      </w:r>
      <w:r w:rsidR="005C6881">
        <w:t>Ahnenreihe</w:t>
      </w:r>
      <w:r w:rsidR="002E1387">
        <w:t>“</w:t>
      </w:r>
      <w:r w:rsidR="005C6881">
        <w:t xml:space="preserve"> er diesen Text stellen </w:t>
      </w:r>
      <w:r w:rsidR="00EE06E5">
        <w:t>möchte</w:t>
      </w:r>
      <w:r w:rsidR="005C6881">
        <w:t xml:space="preserve">: Die Gestaltung des </w:t>
      </w:r>
      <w:r w:rsidR="005C6881">
        <w:rPr>
          <w:i/>
        </w:rPr>
        <w:t xml:space="preserve">Proömiums </w:t>
      </w:r>
      <w:r w:rsidR="005C6881">
        <w:t xml:space="preserve">der </w:t>
      </w:r>
      <w:r w:rsidR="005C6881">
        <w:rPr>
          <w:i/>
        </w:rPr>
        <w:t xml:space="preserve">Aeneis </w:t>
      </w:r>
      <w:r w:rsidR="005C6881">
        <w:t>verweist auf</w:t>
      </w:r>
      <w:r w:rsidR="00EE06E5">
        <w:t xml:space="preserve"> den griechischen Dichter</w:t>
      </w:r>
      <w:r w:rsidR="005C6881">
        <w:t xml:space="preserve"> </w:t>
      </w:r>
      <w:r w:rsidR="005C6881" w:rsidRPr="00EE06E5">
        <w:rPr>
          <w:i/>
        </w:rPr>
        <w:t>Homer</w:t>
      </w:r>
      <w:r w:rsidR="005C6881">
        <w:t xml:space="preserve">, </w:t>
      </w:r>
      <w:r w:rsidR="002E1387">
        <w:t>genauer</w:t>
      </w:r>
      <w:r w:rsidR="00BA2D9F">
        <w:t xml:space="preserve"> </w:t>
      </w:r>
      <w:r w:rsidR="002E1387">
        <w:t xml:space="preserve">gesagt </w:t>
      </w:r>
      <w:r w:rsidR="00EE06E5">
        <w:t>dessen</w:t>
      </w:r>
      <w:r w:rsidR="005C6881">
        <w:t xml:space="preserve"> </w:t>
      </w:r>
      <w:r w:rsidR="005C6881">
        <w:rPr>
          <w:i/>
        </w:rPr>
        <w:t>Odyssee</w:t>
      </w:r>
      <w:r w:rsidR="005C6881">
        <w:t xml:space="preserve">, und </w:t>
      </w:r>
      <w:r w:rsidR="00EE06E5">
        <w:t>so</w:t>
      </w:r>
      <w:r w:rsidR="005C6881">
        <w:t xml:space="preserve"> auf das </w:t>
      </w:r>
      <w:r w:rsidR="005C6881" w:rsidRPr="002E1387">
        <w:rPr>
          <w:b/>
        </w:rPr>
        <w:t>heroische Epos</w:t>
      </w:r>
      <w:r w:rsidR="005C6881">
        <w:t xml:space="preserve">: </w:t>
      </w:r>
    </w:p>
    <w:p w:rsidR="00851466" w:rsidRDefault="00851466" w:rsidP="00CA133B">
      <w:pPr>
        <w:spacing w:after="100" w:line="276" w:lineRule="auto"/>
        <w:jc w:val="both"/>
        <w:rPr>
          <w:b/>
        </w:rPr>
        <w:sectPr w:rsidR="00851466" w:rsidSect="00632F6A">
          <w:pgSz w:w="11906" w:h="16838"/>
          <w:pgMar w:top="567" w:right="851" w:bottom="567" w:left="851" w:header="709" w:footer="709" w:gutter="0"/>
          <w:cols w:space="708"/>
          <w:docGrid w:linePitch="360"/>
        </w:sectPr>
      </w:pPr>
    </w:p>
    <w:p w:rsidR="005C6881" w:rsidRPr="00851466" w:rsidRDefault="005C6881" w:rsidP="002E1387">
      <w:pPr>
        <w:suppressLineNumbers/>
        <w:spacing w:after="100" w:line="276" w:lineRule="auto"/>
        <w:ind w:left="708"/>
        <w:jc w:val="both"/>
        <w:rPr>
          <w:b/>
          <w:i/>
          <w:sz w:val="18"/>
          <w:szCs w:val="18"/>
        </w:rPr>
      </w:pPr>
      <w:r w:rsidRPr="00851466">
        <w:rPr>
          <w:b/>
          <w:sz w:val="18"/>
          <w:szCs w:val="18"/>
        </w:rPr>
        <w:t xml:space="preserve">Proömium der </w:t>
      </w:r>
      <w:r w:rsidRPr="00851466">
        <w:rPr>
          <w:b/>
          <w:i/>
          <w:sz w:val="18"/>
          <w:szCs w:val="18"/>
        </w:rPr>
        <w:t>Aeneis</w:t>
      </w:r>
    </w:p>
    <w:p w:rsidR="005C6881" w:rsidRPr="00851466" w:rsidRDefault="005C6881" w:rsidP="002E1387">
      <w:pPr>
        <w:suppressLineNumbers/>
        <w:spacing w:after="100" w:line="276" w:lineRule="auto"/>
        <w:ind w:left="708"/>
        <w:jc w:val="both"/>
        <w:rPr>
          <w:sz w:val="18"/>
          <w:szCs w:val="18"/>
        </w:rPr>
      </w:pPr>
      <w:r w:rsidRPr="00851466">
        <w:rPr>
          <w:sz w:val="18"/>
          <w:szCs w:val="18"/>
        </w:rPr>
        <w:t>Waffentaten und den Helden besinge ich, der von Trojas Gestaden als erster landflüchtig durch göttliche Fügung nach Italien und an Laviniums Küste kam. Schwer wurde er heimgesucht zu Land und Meer durch die Macht der Himmlischen und den unversöhnlichen Zorn der wütenden Juno; viel auch erlitt er in Kriegen, bis er seine Stadt gründen und seine Götter nach Latium bringen konnte – daher das Latinervolk und die albanischen Ahnen und die hochragenden Mauern von Rom!</w:t>
      </w:r>
    </w:p>
    <w:p w:rsidR="005C6881" w:rsidRPr="00851466" w:rsidRDefault="005C6881" w:rsidP="002E1387">
      <w:pPr>
        <w:suppressLineNumbers/>
        <w:spacing w:after="100" w:line="276" w:lineRule="auto"/>
        <w:ind w:left="708"/>
        <w:jc w:val="both"/>
        <w:rPr>
          <w:sz w:val="18"/>
          <w:szCs w:val="18"/>
        </w:rPr>
      </w:pPr>
      <w:r w:rsidRPr="00851466">
        <w:rPr>
          <w:sz w:val="18"/>
          <w:szCs w:val="18"/>
        </w:rPr>
        <w:t>Muse, nenne mir die Gründe, wegen welches Frevels oder welcher Kränkung die Königin der Götter einen Mann, ausgezeichnet durch fromme Gesinnung, so viele Schicksalsschläge ertragen und so viel Mühsal bestehen ließ. Ist denn so groß der Groll in Götterherzen?</w:t>
      </w:r>
    </w:p>
    <w:p w:rsidR="005C6881" w:rsidRPr="00851466" w:rsidRDefault="005C6881" w:rsidP="002E1387">
      <w:pPr>
        <w:suppressLineNumbers/>
        <w:spacing w:after="100" w:line="276" w:lineRule="auto"/>
        <w:ind w:left="993" w:hanging="285"/>
        <w:jc w:val="both"/>
        <w:rPr>
          <w:b/>
          <w:sz w:val="18"/>
          <w:szCs w:val="18"/>
        </w:rPr>
      </w:pPr>
      <w:r w:rsidRPr="00851466">
        <w:rPr>
          <w:b/>
          <w:sz w:val="18"/>
          <w:szCs w:val="18"/>
        </w:rPr>
        <w:t>Proömium der Odyssee</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 xml:space="preserve">Sage mir, Muse, die Taten des viel gewanderten Mannes, </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 xml:space="preserve">Welcher so weit geirrt, nach der heiligen Troja Zerstörung, </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 xml:space="preserve">Vieler Menschen Städte gesehn und Sitte gelernt hat, </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 xml:space="preserve">Und auf dem Meere so viel‘ unnennbare Leiden erduldet, </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 xml:space="preserve">Seine Seele zu retten und seiner Freunde Zurückkunft. </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 xml:space="preserve">[…] Es jammerte seiner die Götter; </w:t>
      </w:r>
    </w:p>
    <w:p w:rsidR="005C6881" w:rsidRPr="00851466" w:rsidRDefault="005C6881" w:rsidP="002E1387">
      <w:pPr>
        <w:suppressLineNumbers/>
        <w:spacing w:after="100" w:line="276" w:lineRule="auto"/>
        <w:ind w:left="993" w:hanging="285"/>
        <w:jc w:val="both"/>
        <w:rPr>
          <w:sz w:val="18"/>
          <w:szCs w:val="18"/>
        </w:rPr>
      </w:pPr>
      <w:r w:rsidRPr="00851466">
        <w:rPr>
          <w:sz w:val="18"/>
          <w:szCs w:val="18"/>
        </w:rPr>
        <w:t>Nur Poseidon zürnte dem göttergleichen Odysseus</w:t>
      </w:r>
    </w:p>
    <w:p w:rsidR="00851466" w:rsidRDefault="005C6881" w:rsidP="002E1387">
      <w:pPr>
        <w:suppressLineNumbers/>
        <w:spacing w:after="100" w:line="276" w:lineRule="auto"/>
        <w:ind w:left="993" w:hanging="285"/>
        <w:jc w:val="both"/>
        <w:sectPr w:rsidR="00851466" w:rsidSect="00632F6A">
          <w:type w:val="continuous"/>
          <w:pgSz w:w="11906" w:h="16838"/>
          <w:pgMar w:top="567" w:right="1841" w:bottom="567" w:left="851" w:header="709" w:footer="709" w:gutter="0"/>
          <w:cols w:num="2" w:space="286"/>
          <w:docGrid w:linePitch="360"/>
        </w:sectPr>
      </w:pPr>
      <w:r w:rsidRPr="00851466">
        <w:rPr>
          <w:sz w:val="18"/>
          <w:szCs w:val="18"/>
        </w:rPr>
        <w:t>Unablässig, bevor er sein Vaterland wieder erreichte.</w:t>
      </w:r>
    </w:p>
    <w:p w:rsidR="002E1387" w:rsidRPr="007F1480" w:rsidRDefault="002E1387" w:rsidP="004B0C37">
      <w:pPr>
        <w:spacing w:after="100" w:line="276" w:lineRule="auto"/>
        <w:jc w:val="both"/>
      </w:pPr>
      <w:r>
        <w:t xml:space="preserve">Homers </w:t>
      </w:r>
      <w:r w:rsidRPr="004B0C37">
        <w:rPr>
          <w:i/>
        </w:rPr>
        <w:t>Ilias</w:t>
      </w:r>
      <w:r w:rsidR="004B0C37">
        <w:t>, die vom trojanischen Krieg handelt,</w:t>
      </w:r>
      <w:r w:rsidR="004B0C37">
        <w:rPr>
          <w:i/>
        </w:rPr>
        <w:t xml:space="preserve"> </w:t>
      </w:r>
      <w:r w:rsidR="00BA2D9F">
        <w:t>ist</w:t>
      </w:r>
      <w:r>
        <w:t xml:space="preserve"> das älteste Epos der Griechen. </w:t>
      </w:r>
      <w:r w:rsidR="004B0C37">
        <w:t xml:space="preserve">Die </w:t>
      </w:r>
      <w:r w:rsidR="004B0C37">
        <w:rPr>
          <w:i/>
        </w:rPr>
        <w:t xml:space="preserve">Odyssee </w:t>
      </w:r>
      <w:r w:rsidR="004B0C37">
        <w:t xml:space="preserve">schließt sich inhaltlich daran an, denn sie berichtet von den Irrfahrten des aus eben jenem trojanischen Krieg heimkehrenden Helden Odysseus. </w:t>
      </w:r>
      <w:r w:rsidR="007F1480">
        <w:t xml:space="preserve">Über das Proömium hinaus erkennt man in der </w:t>
      </w:r>
      <w:r w:rsidR="007F1480">
        <w:rPr>
          <w:i/>
        </w:rPr>
        <w:t xml:space="preserve">Aeneis </w:t>
      </w:r>
      <w:r w:rsidR="007F1480">
        <w:t xml:space="preserve">an vielen weiteren Stellen die enge Beziehung zu </w:t>
      </w:r>
      <w:r w:rsidR="007F1480">
        <w:rPr>
          <w:i/>
        </w:rPr>
        <w:t xml:space="preserve">Ilias </w:t>
      </w:r>
      <w:r w:rsidR="007F1480">
        <w:t xml:space="preserve">und </w:t>
      </w:r>
      <w:r w:rsidR="007F1480">
        <w:rPr>
          <w:i/>
        </w:rPr>
        <w:t>Odyssee</w:t>
      </w:r>
      <w:r w:rsidR="007F1480">
        <w:t xml:space="preserve">. </w:t>
      </w:r>
      <w:r w:rsidR="004B0C37">
        <w:t xml:space="preserve">So lässt sich z. B. der Aufbau der </w:t>
      </w:r>
      <w:r w:rsidR="004B0C37">
        <w:rPr>
          <w:i/>
        </w:rPr>
        <w:t xml:space="preserve">Aeneis </w:t>
      </w:r>
      <w:r w:rsidR="004B0C37">
        <w:t xml:space="preserve"> </w:t>
      </w:r>
      <w:r w:rsidR="007F1480">
        <w:t xml:space="preserve">in einen „odysseeischen“ Teil (Buch 1-6), der von den Irrfahrten des Helden berichtet, und einen „iliadischen“ Teil (Buch 7-12), in dem von einem großen Krieg erzählt wird, einteilen. </w:t>
      </w:r>
    </w:p>
    <w:p w:rsidR="005C6881" w:rsidRDefault="002E1387" w:rsidP="00CA133B">
      <w:pPr>
        <w:spacing w:after="100" w:line="276" w:lineRule="auto"/>
        <w:jc w:val="both"/>
      </w:pPr>
      <w:r>
        <w:t xml:space="preserve">Anders als Epen in der modernen Literatur war das antike Epos </w:t>
      </w:r>
      <w:r w:rsidR="004B0C37">
        <w:t xml:space="preserve">– sowohl der Griechen als auch der Römer – </w:t>
      </w:r>
      <w:r>
        <w:t xml:space="preserve">stets in </w:t>
      </w:r>
      <w:r w:rsidRPr="004B0C37">
        <w:rPr>
          <w:b/>
        </w:rPr>
        <w:t>Versen</w:t>
      </w:r>
      <w:r>
        <w:t xml:space="preserve"> gehalten, die im </w:t>
      </w:r>
      <w:r w:rsidRPr="004B0C37">
        <w:rPr>
          <w:b/>
        </w:rPr>
        <w:t>Hexameter</w:t>
      </w:r>
      <w:r>
        <w:t xml:space="preserve"> verfasst wurden. </w:t>
      </w:r>
      <w:r w:rsidR="004B0C37">
        <w:t>Doch auch d</w:t>
      </w:r>
      <w:r w:rsidR="008A5259">
        <w:t>arüber hinaus gibt es Merkmale und Stilelemente, die</w:t>
      </w:r>
      <w:r w:rsidR="004B0C37">
        <w:t xml:space="preserve"> als</w:t>
      </w:r>
      <w:r w:rsidR="008A5259">
        <w:t xml:space="preserve"> </w:t>
      </w:r>
      <w:r w:rsidR="008A5259" w:rsidRPr="004B0C37">
        <w:rPr>
          <w:i/>
        </w:rPr>
        <w:t>typisch</w:t>
      </w:r>
      <w:r w:rsidR="008A5259">
        <w:t xml:space="preserve"> für ein antikes Epos </w:t>
      </w:r>
      <w:r w:rsidR="004B0C37">
        <w:t>gelten können</w:t>
      </w:r>
      <w:r w:rsidR="008A5259">
        <w:t xml:space="preserve">: </w:t>
      </w:r>
    </w:p>
    <w:p w:rsidR="00080112" w:rsidRDefault="000A79C4" w:rsidP="000A79C4">
      <w:pPr>
        <w:pStyle w:val="Listenabsatz"/>
        <w:numPr>
          <w:ilvl w:val="0"/>
          <w:numId w:val="13"/>
        </w:numPr>
        <w:suppressLineNumbers/>
        <w:spacing w:after="100" w:line="276" w:lineRule="auto"/>
        <w:jc w:val="both"/>
      </w:pPr>
      <w:r>
        <w:rPr>
          <w:b/>
        </w:rPr>
        <w:t xml:space="preserve">Göttinnen und Götter </w:t>
      </w:r>
      <w:r>
        <w:t>sind an der Handlung beteiligt.</w:t>
      </w:r>
      <w:r w:rsidR="00080112">
        <w:t xml:space="preserve"> Dabei können die Göttinnen und Götter in „olympischen Szenen“ entweder unter sich bleiben (Monologe, Dialoge, Götterversammlungen) oder aber sie treten in Kontakt zu Menschen. Dann </w:t>
      </w:r>
      <w:r w:rsidR="00ED1C2B">
        <w:t>sind</w:t>
      </w:r>
      <w:r w:rsidR="00080112">
        <w:t xml:space="preserve"> sie z. T. sichtbar und als göttlich erkennbar; z. T. maskieren sie allerdings auch (vorübergehend) ihre Identität oder bleiben für die Figuren des Epos </w:t>
      </w:r>
      <w:r w:rsidR="00ED1C2B">
        <w:t xml:space="preserve">sogar </w:t>
      </w:r>
      <w:r w:rsidR="00080112">
        <w:t xml:space="preserve">gänzlich </w:t>
      </w:r>
      <w:r w:rsidR="00C23DB6">
        <w:t>verborgen</w:t>
      </w:r>
      <w:r w:rsidR="00080112">
        <w:t xml:space="preserve">. In diesen Fällen sind </w:t>
      </w:r>
      <w:r w:rsidR="0086793C">
        <w:t xml:space="preserve">sie nur dem Erzähler sowie den Lesenden bekannt. </w:t>
      </w:r>
      <w:r w:rsidR="00080112">
        <w:t xml:space="preserve">  </w:t>
      </w:r>
    </w:p>
    <w:p w:rsidR="00E2072C" w:rsidRDefault="00E2072C" w:rsidP="00BA2D9F">
      <w:pPr>
        <w:pStyle w:val="Listenabsatz"/>
        <w:numPr>
          <w:ilvl w:val="0"/>
          <w:numId w:val="13"/>
        </w:numPr>
        <w:suppressLineNumbers/>
        <w:spacing w:after="100" w:line="276" w:lineRule="auto"/>
        <w:jc w:val="both"/>
      </w:pPr>
      <w:r>
        <w:t xml:space="preserve">Was das Schicksal für den Handlungsverlauf vorgesehen hat, wird durch </w:t>
      </w:r>
      <w:r w:rsidRPr="000957C3">
        <w:rPr>
          <w:b/>
        </w:rPr>
        <w:t xml:space="preserve">Prophezeiungen, Orakel und </w:t>
      </w:r>
      <w:r w:rsidR="00023965" w:rsidRPr="000957C3">
        <w:rPr>
          <w:b/>
        </w:rPr>
        <w:t>Prodigien (Vorzeichen)</w:t>
      </w:r>
      <w:r w:rsidRPr="000957C3">
        <w:rPr>
          <w:b/>
        </w:rPr>
        <w:t xml:space="preserve"> </w:t>
      </w:r>
      <w:r>
        <w:t xml:space="preserve">deutlich. </w:t>
      </w:r>
      <w:r w:rsidR="00131179">
        <w:t>Bei ersteren</w:t>
      </w:r>
      <w:r w:rsidR="003D0270">
        <w:t xml:space="preserve"> handelt es sich häufig um Reden von Göttinnen oder Göttern</w:t>
      </w:r>
      <w:r w:rsidR="000957C3">
        <w:t xml:space="preserve"> (oder andere</w:t>
      </w:r>
      <w:r w:rsidR="00FC2ADB">
        <w:t>n</w:t>
      </w:r>
      <w:r w:rsidR="000957C3">
        <w:t xml:space="preserve"> „übernatürliche</w:t>
      </w:r>
      <w:r w:rsidR="00FC2ADB">
        <w:t>n</w:t>
      </w:r>
      <w:r w:rsidR="000957C3">
        <w:t>“ Personen)</w:t>
      </w:r>
      <w:r w:rsidR="003D0270">
        <w:t xml:space="preserve">, die zukünftige Ereignisse schildern. </w:t>
      </w:r>
      <w:r w:rsidR="000957C3">
        <w:t>Dies kann auch innerhalb eines Traums erfolgen. So</w:t>
      </w:r>
      <w:r w:rsidR="00023965">
        <w:t xml:space="preserve"> werden </w:t>
      </w:r>
      <w:r w:rsidR="00131179">
        <w:t xml:space="preserve">zeitlich weit entfernte Geschehnisse mit der jeweils aktuellen Szenerie verknüpft und die Figuren des Epos </w:t>
      </w:r>
      <w:r w:rsidR="004D2E4C">
        <w:t>dahingehend geleitet, dass sich das Dargestellte erfüllt</w:t>
      </w:r>
      <w:r w:rsidR="00131179">
        <w:t xml:space="preserve">. </w:t>
      </w:r>
      <w:r w:rsidR="002F69D1" w:rsidRPr="000957C3">
        <w:rPr>
          <w:b/>
        </w:rPr>
        <w:t xml:space="preserve">Prodigien und Omen </w:t>
      </w:r>
      <w:r w:rsidR="002F69D1">
        <w:t xml:space="preserve">sind demgegenüber keine Reden, sondern Ereignisse, die den jeweiligen Willen der höheren Mächte verdeutlichen. </w:t>
      </w:r>
    </w:p>
    <w:p w:rsidR="004D2E4C" w:rsidRDefault="00BA2D9F" w:rsidP="00BA2D9F">
      <w:pPr>
        <w:pStyle w:val="Listenabsatz"/>
        <w:numPr>
          <w:ilvl w:val="0"/>
          <w:numId w:val="13"/>
        </w:numPr>
        <w:suppressLineNumbers/>
        <w:spacing w:after="100" w:line="276" w:lineRule="auto"/>
        <w:jc w:val="both"/>
      </w:pPr>
      <w:r>
        <w:t>I</w:t>
      </w:r>
      <w:r w:rsidR="00B02B87">
        <w:t xml:space="preserve">m Epos </w:t>
      </w:r>
      <w:r>
        <w:t xml:space="preserve">gibt es </w:t>
      </w:r>
      <w:r w:rsidR="00B02B87">
        <w:t xml:space="preserve">sowohl den allwissenden Erzähler als auch </w:t>
      </w:r>
      <w:r w:rsidR="004D2E4C" w:rsidRPr="00B02B87">
        <w:rPr>
          <w:b/>
        </w:rPr>
        <w:t>Reden</w:t>
      </w:r>
      <w:r w:rsidR="004D2E4C">
        <w:t xml:space="preserve">, bei denen die Figuren selbst zu Wort kommen. </w:t>
      </w:r>
      <w:r w:rsidR="000957C3">
        <w:t xml:space="preserve">Dabei kann es sich um Monologe, Dialoge, Konstellationen mit mehreren </w:t>
      </w:r>
      <w:r w:rsidR="000957C3">
        <w:lastRenderedPageBreak/>
        <w:t>Sprechenden usw. handeln. Die Reden können die verschiedens</w:t>
      </w:r>
      <w:r w:rsidR="00FC2ADB">
        <w:t>t</w:t>
      </w:r>
      <w:r w:rsidR="000957C3">
        <w:t xml:space="preserve">en Funktionen erfüllen, z. B. erzählend, argumentierend, befehlend, betend. </w:t>
      </w:r>
    </w:p>
    <w:p w:rsidR="004D2E4C" w:rsidRDefault="004D2E4C" w:rsidP="00BA2D9F">
      <w:pPr>
        <w:pStyle w:val="Listenabsatz"/>
        <w:numPr>
          <w:ilvl w:val="0"/>
          <w:numId w:val="13"/>
        </w:numPr>
        <w:suppressLineNumbers/>
        <w:spacing w:after="100" w:line="276" w:lineRule="auto"/>
        <w:jc w:val="both"/>
      </w:pPr>
      <w:r>
        <w:t xml:space="preserve">Handlungen werden z. T. durch </w:t>
      </w:r>
      <w:r w:rsidR="008602F1" w:rsidRPr="008602F1">
        <w:rPr>
          <w:b/>
        </w:rPr>
        <w:t>umfassende</w:t>
      </w:r>
      <w:r w:rsidR="008602F1">
        <w:t xml:space="preserve"> </w:t>
      </w:r>
      <w:r>
        <w:rPr>
          <w:b/>
        </w:rPr>
        <w:t xml:space="preserve">Gleichnisse </w:t>
      </w:r>
      <w:r w:rsidR="008602F1">
        <w:rPr>
          <w:b/>
        </w:rPr>
        <w:t>oder</w:t>
      </w:r>
      <w:r>
        <w:rPr>
          <w:b/>
        </w:rPr>
        <w:t xml:space="preserve"> Kurzvergleiche </w:t>
      </w:r>
      <w:r>
        <w:t>veranschaulicht. Dabei wird ein Phänomen der epischen Handlung mit einem Phänomen aus einem ganz anderen Gegenstandsbereich</w:t>
      </w:r>
      <w:r w:rsidR="000957C3">
        <w:t xml:space="preserve"> (z. B. Tierwelt, Landwirtschaft)</w:t>
      </w:r>
      <w:r>
        <w:t xml:space="preserve"> </w:t>
      </w:r>
      <w:r w:rsidR="008040B8">
        <w:t>bildlich verglichen</w:t>
      </w:r>
      <w:r w:rsidR="00E0111B">
        <w:t xml:space="preserve"> und so ein spezieller </w:t>
      </w:r>
      <w:r w:rsidR="008602F1">
        <w:t xml:space="preserve">– </w:t>
      </w:r>
      <w:r w:rsidR="00FC2ADB">
        <w:t xml:space="preserve">bei </w:t>
      </w:r>
      <w:r w:rsidR="008602F1">
        <w:t xml:space="preserve">beiden Phänomenen gleicher – </w:t>
      </w:r>
      <w:r w:rsidR="00E0111B">
        <w:t>Aspekt hervorgehoben</w:t>
      </w:r>
      <w:r>
        <w:t xml:space="preserve">. </w:t>
      </w:r>
    </w:p>
    <w:p w:rsidR="005F7AA5" w:rsidRDefault="005F7AA5" w:rsidP="00BA2D9F">
      <w:pPr>
        <w:pStyle w:val="Listenabsatz"/>
        <w:numPr>
          <w:ilvl w:val="0"/>
          <w:numId w:val="13"/>
        </w:numPr>
        <w:suppressLineNumbers/>
        <w:spacing w:after="100" w:line="276" w:lineRule="auto"/>
        <w:jc w:val="both"/>
      </w:pPr>
      <w:r>
        <w:rPr>
          <w:b/>
        </w:rPr>
        <w:t xml:space="preserve">Einzelkämpfe </w:t>
      </w:r>
      <w:r>
        <w:t>werden genau geschildert. Dabei findet oft eine Einleitung mit wechselseitiger Schmähung statt</w:t>
      </w:r>
      <w:r w:rsidR="00222D98">
        <w:t xml:space="preserve">. Bisweilen kommt es auch zur Aneinanderreihung einzelner Kämpfe mit mehreren Gegnern (nacheinander). </w:t>
      </w:r>
    </w:p>
    <w:p w:rsidR="00222D98" w:rsidRDefault="000957C3" w:rsidP="00BA2D9F">
      <w:pPr>
        <w:pStyle w:val="Listenabsatz"/>
        <w:numPr>
          <w:ilvl w:val="0"/>
          <w:numId w:val="13"/>
        </w:numPr>
        <w:suppressLineNumbers/>
        <w:spacing w:after="100" w:line="276" w:lineRule="auto"/>
        <w:jc w:val="both"/>
      </w:pPr>
      <w:r>
        <w:rPr>
          <w:b/>
        </w:rPr>
        <w:t xml:space="preserve">Beschreibungen </w:t>
      </w:r>
      <w:r>
        <w:t xml:space="preserve">erfolgen teilweise sehr ausführlich (z. B. von Gebäuden, Gewändern, Geschenken, Wettkampfpreisen, Waffen…). </w:t>
      </w:r>
    </w:p>
    <w:p w:rsidR="00BE6DD6" w:rsidRDefault="00BE6DD6" w:rsidP="00BA2D9F">
      <w:pPr>
        <w:pStyle w:val="Listenabsatz"/>
        <w:numPr>
          <w:ilvl w:val="0"/>
          <w:numId w:val="13"/>
        </w:numPr>
        <w:suppressLineNumbers/>
        <w:spacing w:after="100" w:line="276" w:lineRule="auto"/>
        <w:jc w:val="both"/>
      </w:pPr>
      <w:r>
        <w:t xml:space="preserve">In die Erzählung werden </w:t>
      </w:r>
      <w:r>
        <w:rPr>
          <w:b/>
        </w:rPr>
        <w:t xml:space="preserve">aitiologische Elemente </w:t>
      </w:r>
      <w:r>
        <w:t xml:space="preserve">aufgenommen, d. h. innerhalb der Handlung werden – z. B. durch eingeschobene Geschichten – Ursprünge von Gegebenheiten in der Welt des Dichters erklärt. Typisch ist dies z. B. für Ortsnamen. </w:t>
      </w:r>
    </w:p>
    <w:p w:rsidR="00F13811" w:rsidRDefault="000957C3" w:rsidP="00BA2D9F">
      <w:pPr>
        <w:pStyle w:val="Listenabsatz"/>
        <w:numPr>
          <w:ilvl w:val="0"/>
          <w:numId w:val="13"/>
        </w:numPr>
        <w:suppressLineNumbers/>
        <w:spacing w:after="100" w:line="276" w:lineRule="auto"/>
        <w:jc w:val="both"/>
      </w:pPr>
      <w:r>
        <w:t xml:space="preserve">Der Dichter verwendet </w:t>
      </w:r>
      <w:r w:rsidRPr="007F5129">
        <w:rPr>
          <w:b/>
        </w:rPr>
        <w:t>feststehende Beiwörter</w:t>
      </w:r>
      <w:r>
        <w:t xml:space="preserve"> für bestimmte Personen</w:t>
      </w:r>
      <w:r w:rsidR="007F5129">
        <w:t xml:space="preserve"> (i. d. R. Adjektive)</w:t>
      </w:r>
      <w:r>
        <w:t xml:space="preserve">. </w:t>
      </w:r>
      <w:r w:rsidR="007F5129">
        <w:t>Diese</w:t>
      </w:r>
      <w:r>
        <w:t xml:space="preserve"> sind oft schmückendes Beiwerk und </w:t>
      </w:r>
      <w:r w:rsidR="007F5129">
        <w:t xml:space="preserve">charakterisieren die Person </w:t>
      </w:r>
      <w:r>
        <w:t>nicht immer situationsgerecht.</w:t>
      </w:r>
    </w:p>
    <w:p w:rsidR="00B77DAE" w:rsidRDefault="00B77DAE" w:rsidP="00BA2D9F">
      <w:pPr>
        <w:pStyle w:val="Listenabsatz"/>
        <w:numPr>
          <w:ilvl w:val="0"/>
          <w:numId w:val="13"/>
        </w:numPr>
        <w:suppressLineNumbers/>
        <w:spacing w:after="100" w:line="276" w:lineRule="auto"/>
        <w:jc w:val="both"/>
      </w:pPr>
      <w:r>
        <w:t xml:space="preserve">Zu Beginn des Werks gibt es eine Art Einleitung, das sogenannte </w:t>
      </w:r>
      <w:r>
        <w:rPr>
          <w:b/>
        </w:rPr>
        <w:t>Proömium</w:t>
      </w:r>
      <w:r>
        <w:t xml:space="preserve">, in das auch ein </w:t>
      </w:r>
      <w:r>
        <w:rPr>
          <w:b/>
        </w:rPr>
        <w:t>Anruf der Musen</w:t>
      </w:r>
      <w:r>
        <w:t xml:space="preserve"> um Inspiration eingearbeitet ist. </w:t>
      </w:r>
    </w:p>
    <w:p w:rsidR="000957C3" w:rsidRDefault="00FC2ADB" w:rsidP="00BA2D9F">
      <w:pPr>
        <w:pStyle w:val="Listenabsatz"/>
        <w:numPr>
          <w:ilvl w:val="0"/>
          <w:numId w:val="13"/>
        </w:numPr>
        <w:suppressLineNumbers/>
        <w:spacing w:after="100" w:line="276" w:lineRule="auto"/>
        <w:jc w:val="both"/>
      </w:pPr>
      <w:r>
        <w:rPr>
          <w:b/>
        </w:rPr>
        <w:t xml:space="preserve">Typische Szenen </w:t>
      </w:r>
      <w:r>
        <w:t xml:space="preserve">in einem Epos sind somit beispielsweise Götterversammlungen, Reiseschilderungen (v. a. als Beschreibung von Abfahrt und Ankunft, weniger vom Fahrtverlauf), Seestürme, ein Besuch in der Unterwelt, Wettkämpfe, Kampfschilderungen, Erwähnung von Tagesanbruch oder -ende. </w:t>
      </w:r>
    </w:p>
    <w:p w:rsidR="00FC2ADB" w:rsidRDefault="00FC2ADB" w:rsidP="00BA2D9F">
      <w:pPr>
        <w:pStyle w:val="Listenabsatz"/>
        <w:numPr>
          <w:ilvl w:val="0"/>
          <w:numId w:val="13"/>
        </w:numPr>
        <w:suppressLineNumbers/>
        <w:spacing w:after="100" w:line="276" w:lineRule="auto"/>
        <w:jc w:val="both"/>
      </w:pPr>
      <w:r>
        <w:rPr>
          <w:b/>
        </w:rPr>
        <w:t xml:space="preserve">Sprachliche Besonderheiten </w:t>
      </w:r>
      <w:r>
        <w:t xml:space="preserve">in einem Epos sind </w:t>
      </w:r>
      <w:r w:rsidR="00B77DAE">
        <w:t xml:space="preserve">z. B.: </w:t>
      </w:r>
      <w:r>
        <w:t xml:space="preserve">die Verwendung eines </w:t>
      </w:r>
      <w:r>
        <w:rPr>
          <w:i/>
        </w:rPr>
        <w:t>historischen Präsens</w:t>
      </w:r>
      <w:r>
        <w:t xml:space="preserve"> statt </w:t>
      </w:r>
      <w:r w:rsidR="00B77DAE">
        <w:t>des</w:t>
      </w:r>
      <w:r>
        <w:t xml:space="preserve"> jeweils zu erwartenden </w:t>
      </w:r>
      <w:r w:rsidR="00B77DAE">
        <w:t xml:space="preserve">Vergangenheitstempus, um auf diese Weise die Handlung den Lesenden noch eindrücklicher zu machen; ein </w:t>
      </w:r>
      <w:r w:rsidR="00B77DAE">
        <w:rPr>
          <w:i/>
        </w:rPr>
        <w:t>neutraler Erzähler</w:t>
      </w:r>
      <w:r w:rsidR="00B77DAE">
        <w:t>, aber hin und wieder</w:t>
      </w:r>
      <w:r w:rsidR="00B77DAE">
        <w:rPr>
          <w:i/>
        </w:rPr>
        <w:t xml:space="preserve"> Apostrophen</w:t>
      </w:r>
      <w:r w:rsidR="00B77DAE">
        <w:t xml:space="preserve">, d. h. der Dichter bzw. Erzähler spricht Figuren des Epos direkt an. </w:t>
      </w:r>
    </w:p>
    <w:p w:rsidR="00ED633F" w:rsidRPr="00D96D50" w:rsidRDefault="00C8295F" w:rsidP="00ED633F">
      <w:pPr>
        <w:spacing w:after="100" w:line="276" w:lineRule="auto"/>
        <w:jc w:val="both"/>
      </w:pPr>
      <w:r>
        <w:t xml:space="preserve">Eine der </w:t>
      </w:r>
      <w:r>
        <w:rPr>
          <w:i/>
        </w:rPr>
        <w:t xml:space="preserve">Aeneis </w:t>
      </w:r>
      <w:r>
        <w:t xml:space="preserve">eigene Besonderheit ist demgegenüber, dass innerhalb der Erzählung immer wieder auf die Gegenwart des Dichters angespielt wird. Dies geschieht z. B. durch eine (scheinbar) historische Perspektive, die von (übernatürlichen) Figuren des Epos eingenommen werden kann und die auf prophetische Art die Zukunft enthüllt. So </w:t>
      </w:r>
      <w:r w:rsidR="00ED633F">
        <w:t>werden</w:t>
      </w:r>
      <w:r>
        <w:t xml:space="preserve"> z. B. die</w:t>
      </w:r>
      <w:r w:rsidR="00ED633F">
        <w:t xml:space="preserve"> </w:t>
      </w:r>
      <w:r w:rsidR="00ED633F">
        <w:rPr>
          <w:i/>
        </w:rPr>
        <w:t xml:space="preserve">gens Iulia </w:t>
      </w:r>
      <w:r w:rsidR="00ED633F">
        <w:t>oder auch die</w:t>
      </w:r>
      <w:r>
        <w:t xml:space="preserve"> </w:t>
      </w:r>
      <w:r>
        <w:rPr>
          <w:i/>
        </w:rPr>
        <w:t xml:space="preserve">pax Augusta </w:t>
      </w:r>
      <w:r>
        <w:t xml:space="preserve">immer wieder thematisiert. </w:t>
      </w:r>
      <w:r w:rsidR="00ED633F">
        <w:t xml:space="preserve">Auf diese Weise erzählt die </w:t>
      </w:r>
      <w:r w:rsidR="00ED633F">
        <w:rPr>
          <w:i/>
        </w:rPr>
        <w:t xml:space="preserve">Aeneis </w:t>
      </w:r>
      <w:r w:rsidR="00ED633F">
        <w:t xml:space="preserve">nicht nur von Flucht und Neuanfang des Aeneas und seiner Gefährten, sondern schildert gleichzeitig die ersten Ursprünge Roms und ihren weiteren Verlauf bis zur Gegenwart des Dichters. </w:t>
      </w:r>
      <w:r w:rsidR="00823739">
        <w:t xml:space="preserve">So macht Vergil aus der gesamten mythischen und historischen Überlieferung zu diesem Thema eine einzige, zielgerichtete Entwicklung – beginnend mit dem Untergang Trojas. </w:t>
      </w:r>
      <w:r w:rsidR="00D96D50">
        <w:t xml:space="preserve">Die </w:t>
      </w:r>
      <w:r w:rsidR="00D96D50">
        <w:rPr>
          <w:i/>
        </w:rPr>
        <w:t xml:space="preserve">Aeneis </w:t>
      </w:r>
      <w:r w:rsidR="00D96D50">
        <w:t>lässt sich aus diesem Grund durchaus auch als römisches „Nationalepos“ bezeichnen.</w:t>
      </w:r>
    </w:p>
    <w:p w:rsidR="00922694" w:rsidRDefault="00922694" w:rsidP="00F82674">
      <w:pPr>
        <w:suppressLineNumbers/>
        <w:spacing w:after="100" w:line="276" w:lineRule="auto"/>
        <w:jc w:val="both"/>
      </w:pPr>
    </w:p>
    <w:p w:rsidR="00922694" w:rsidRPr="00102F6F" w:rsidRDefault="00922694" w:rsidP="00102F6F">
      <w:pPr>
        <w:suppressLineNumbers/>
        <w:spacing w:after="0" w:line="276" w:lineRule="auto"/>
        <w:rPr>
          <w:b/>
          <w:sz w:val="18"/>
          <w:szCs w:val="18"/>
        </w:rPr>
      </w:pPr>
      <w:r w:rsidRPr="00102F6F">
        <w:rPr>
          <w:b/>
          <w:sz w:val="18"/>
          <w:szCs w:val="18"/>
        </w:rPr>
        <w:t xml:space="preserve">Quellen </w:t>
      </w:r>
    </w:p>
    <w:p w:rsidR="00922694" w:rsidRPr="00E55FBD" w:rsidRDefault="00E55FBD" w:rsidP="00102F6F">
      <w:pPr>
        <w:suppressLineNumbers/>
        <w:spacing w:after="0" w:line="276" w:lineRule="auto"/>
        <w:rPr>
          <w:sz w:val="18"/>
          <w:szCs w:val="18"/>
        </w:rPr>
      </w:pPr>
      <w:r w:rsidRPr="00102F6F">
        <w:rPr>
          <w:smallCaps/>
          <w:sz w:val="18"/>
          <w:szCs w:val="18"/>
        </w:rPr>
        <w:t>Fuhrmann</w:t>
      </w:r>
      <w:r w:rsidRPr="00102F6F">
        <w:rPr>
          <w:sz w:val="18"/>
          <w:szCs w:val="18"/>
        </w:rPr>
        <w:t xml:space="preserve">, Mannfred: Geschichte der römischen Literatur, Stuttgart 2005, S. 291-296. </w:t>
      </w:r>
      <w:r w:rsidR="00102F6F" w:rsidRPr="00102F6F">
        <w:rPr>
          <w:sz w:val="18"/>
          <w:szCs w:val="18"/>
        </w:rPr>
        <w:t xml:space="preserve">/ </w:t>
      </w:r>
      <w:r w:rsidRPr="00102F6F">
        <w:rPr>
          <w:smallCaps/>
          <w:sz w:val="18"/>
          <w:szCs w:val="18"/>
        </w:rPr>
        <w:t>Kuhlmann</w:t>
      </w:r>
      <w:r w:rsidRPr="00102F6F">
        <w:rPr>
          <w:sz w:val="18"/>
          <w:szCs w:val="18"/>
        </w:rPr>
        <w:t xml:space="preserve">, Peter (Hrsg.): Vergil, Aeneis. Bearbeitet von Stefanie Jahn, Classica 3, Göttingen </w:t>
      </w:r>
      <w:r w:rsidRPr="00102F6F">
        <w:rPr>
          <w:sz w:val="18"/>
          <w:szCs w:val="18"/>
          <w:vertAlign w:val="superscript"/>
        </w:rPr>
        <w:t>2</w:t>
      </w:r>
      <w:r w:rsidRPr="00102F6F">
        <w:rPr>
          <w:sz w:val="18"/>
          <w:szCs w:val="18"/>
        </w:rPr>
        <w:t xml:space="preserve">2016, S. 9. </w:t>
      </w:r>
      <w:r w:rsidR="00102F6F" w:rsidRPr="00102F6F">
        <w:rPr>
          <w:sz w:val="18"/>
          <w:szCs w:val="18"/>
        </w:rPr>
        <w:t xml:space="preserve">/ </w:t>
      </w:r>
      <w:r w:rsidRPr="00102F6F">
        <w:rPr>
          <w:smallCaps/>
          <w:sz w:val="18"/>
          <w:szCs w:val="18"/>
        </w:rPr>
        <w:t>Suerbaum</w:t>
      </w:r>
      <w:r w:rsidRPr="00102F6F">
        <w:rPr>
          <w:sz w:val="18"/>
          <w:szCs w:val="18"/>
        </w:rPr>
        <w:t>, Werner: Vergils „Aeneis“. Epos zwischen Geschichte und Gegenwart, Stuttgart 1999, S. 122f.240-329.</w:t>
      </w:r>
    </w:p>
    <w:p w:rsidR="007E3836" w:rsidRDefault="007E3836" w:rsidP="00F82674">
      <w:pPr>
        <w:suppressLineNumbers/>
        <w:spacing w:after="100" w:line="276" w:lineRule="auto"/>
        <w:jc w:val="both"/>
      </w:pPr>
    </w:p>
    <w:p w:rsidR="000F1956" w:rsidRDefault="000F1956" w:rsidP="00F82674">
      <w:pPr>
        <w:suppressLineNumbers/>
        <w:spacing w:after="100" w:line="276" w:lineRule="auto"/>
        <w:jc w:val="both"/>
      </w:pPr>
    </w:p>
    <w:p w:rsidR="000F1956" w:rsidRDefault="000F1956" w:rsidP="00F82674">
      <w:pPr>
        <w:suppressLineNumbers/>
        <w:spacing w:after="100" w:line="276" w:lineRule="auto"/>
        <w:jc w:val="both"/>
      </w:pPr>
    </w:p>
    <w:p w:rsidR="00102F6F" w:rsidRDefault="00102F6F" w:rsidP="00F82674">
      <w:pPr>
        <w:suppressLineNumbers/>
        <w:spacing w:after="100" w:line="276" w:lineRule="auto"/>
        <w:jc w:val="both"/>
      </w:pPr>
    </w:p>
    <w:p w:rsidR="00BA2D9F" w:rsidRDefault="00BA2D9F" w:rsidP="00F82674">
      <w:pPr>
        <w:suppressLineNumbers/>
        <w:spacing w:after="100" w:line="276" w:lineRule="auto"/>
        <w:jc w:val="both"/>
      </w:pPr>
    </w:p>
    <w:p w:rsidR="007E3836" w:rsidRDefault="007E3836" w:rsidP="00F82674">
      <w:pPr>
        <w:suppressLineNumbers/>
        <w:spacing w:after="100" w:line="276" w:lineRule="auto"/>
        <w:jc w:val="both"/>
        <w:rPr>
          <w:b/>
        </w:rPr>
      </w:pPr>
      <w:r>
        <w:rPr>
          <w:b/>
        </w:rPr>
        <w:t>Aufgaben</w:t>
      </w:r>
      <w:r w:rsidR="000F1956">
        <w:rPr>
          <w:b/>
        </w:rPr>
        <w:t xml:space="preserve"> </w:t>
      </w:r>
      <w:r w:rsidR="000F1956">
        <w:rPr>
          <w:b/>
        </w:rPr>
        <w:sym w:font="Wingdings" w:char="F03F"/>
      </w:r>
    </w:p>
    <w:p w:rsidR="007E3836" w:rsidRDefault="007E3836" w:rsidP="00F82674">
      <w:pPr>
        <w:pStyle w:val="Listenabsatz"/>
        <w:numPr>
          <w:ilvl w:val="0"/>
          <w:numId w:val="12"/>
        </w:numPr>
        <w:suppressLineNumbers/>
        <w:spacing w:after="100" w:line="276" w:lineRule="auto"/>
        <w:jc w:val="both"/>
      </w:pPr>
      <w:r>
        <w:t xml:space="preserve">Fassen Sie in eigenen Worten zusammen, </w:t>
      </w:r>
      <w:r w:rsidR="00C92241">
        <w:t>wodurch ein Text der Gattung des antiken Epos zugeordnet werden kann</w:t>
      </w:r>
      <w:r>
        <w:t xml:space="preserve">. </w:t>
      </w:r>
    </w:p>
    <w:p w:rsidR="00C92241" w:rsidRDefault="00C92241" w:rsidP="00C92241">
      <w:pPr>
        <w:pStyle w:val="Listenabsatz"/>
        <w:numPr>
          <w:ilvl w:val="0"/>
          <w:numId w:val="12"/>
        </w:numPr>
        <w:suppressLineNumbers/>
        <w:spacing w:after="100" w:line="276" w:lineRule="auto"/>
        <w:jc w:val="both"/>
      </w:pPr>
      <w:r>
        <w:t xml:space="preserve">Weisen Sie anhand der beiden Proömien nach, dass Vergil sich in der Tat an Homer orientiert. </w:t>
      </w:r>
    </w:p>
    <w:p w:rsidR="00804710" w:rsidRDefault="007E3836" w:rsidP="00804710">
      <w:pPr>
        <w:pStyle w:val="Listenabsatz"/>
        <w:numPr>
          <w:ilvl w:val="0"/>
          <w:numId w:val="12"/>
        </w:numPr>
        <w:suppressLineNumbers/>
        <w:spacing w:after="100" w:line="276" w:lineRule="auto"/>
        <w:jc w:val="both"/>
      </w:pPr>
      <w:r>
        <w:t xml:space="preserve">Untersuchen Sie die bisher übersetzten lat. Texte und arbeiten Sie </w:t>
      </w:r>
      <w:r w:rsidR="00C92241">
        <w:t xml:space="preserve">weitere </w:t>
      </w:r>
      <w:r>
        <w:t xml:space="preserve">Merkmale und Stilelemente des antiken Epos heraus. </w:t>
      </w:r>
      <w:r w:rsidR="000F1956">
        <w:sym w:font="Wingdings" w:char="F047"/>
      </w:r>
      <w:r w:rsidR="000F1956">
        <w:t xml:space="preserve"> </w:t>
      </w:r>
      <w:r w:rsidR="00C92241" w:rsidRPr="000F1956">
        <w:rPr>
          <w:sz w:val="18"/>
          <w:szCs w:val="18"/>
        </w:rPr>
        <w:t>Nutzen Sie zur Sicherung Ihrer Ergebnisse die Tabelle auf der Folgeseite.</w:t>
      </w:r>
      <w:r w:rsidR="00C92241">
        <w:t xml:space="preserve"> </w:t>
      </w:r>
    </w:p>
    <w:p w:rsidR="00804710" w:rsidRDefault="00804710" w:rsidP="00804710">
      <w:pPr>
        <w:suppressLineNumbers/>
        <w:spacing w:after="100" w:line="276" w:lineRule="auto"/>
        <w:jc w:val="both"/>
        <w:sectPr w:rsidR="00804710" w:rsidSect="00632F6A">
          <w:type w:val="continuous"/>
          <w:pgSz w:w="11906" w:h="16838"/>
          <w:pgMar w:top="567" w:right="851" w:bottom="567" w:left="851" w:header="709" w:footer="709" w:gutter="0"/>
          <w:cols w:space="708"/>
          <w:docGrid w:linePitch="360"/>
        </w:sectPr>
      </w:pPr>
    </w:p>
    <w:p w:rsidR="00804710" w:rsidRPr="00800E67" w:rsidRDefault="00804710" w:rsidP="00804710">
      <w:pPr>
        <w:pStyle w:val="Kopfzeile"/>
        <w:suppressLineNumbers/>
        <w:pBdr>
          <w:bottom w:val="single" w:sz="4" w:space="1" w:color="808080" w:themeColor="background1" w:themeShade="80"/>
        </w:pBdr>
        <w:tabs>
          <w:tab w:val="left" w:pos="6804"/>
        </w:tabs>
        <w:spacing w:line="276" w:lineRule="auto"/>
        <w:rPr>
          <w:rFonts w:eastAsiaTheme="majorEastAsia"/>
          <w:color w:val="000000" w:themeColor="text1"/>
          <w:sz w:val="22"/>
          <w:szCs w:val="22"/>
        </w:rPr>
      </w:pPr>
      <w:r>
        <w:rPr>
          <w:rFonts w:eastAsiaTheme="majorEastAsia"/>
          <w:b/>
          <w:color w:val="000000" w:themeColor="text1"/>
          <w:sz w:val="22"/>
          <w:szCs w:val="22"/>
        </w:rPr>
        <w:lastRenderedPageBreak/>
        <w:t>Flucht und Neuanfang</w:t>
      </w:r>
      <w:r w:rsidRPr="00574DAF">
        <w:rPr>
          <w:rFonts w:eastAsiaTheme="majorEastAsia"/>
          <w:b/>
          <w:color w:val="000000" w:themeColor="text1"/>
          <w:sz w:val="22"/>
          <w:szCs w:val="22"/>
        </w:rPr>
        <w:t xml:space="preserve"> </w:t>
      </w:r>
      <w:r>
        <w:rPr>
          <w:rFonts w:eastAsiaTheme="majorEastAsia"/>
          <w:color w:val="000000" w:themeColor="text1"/>
          <w:sz w:val="22"/>
          <w:szCs w:val="22"/>
        </w:rPr>
        <w:t>Vergil</w:t>
      </w:r>
      <w:r w:rsidRPr="001C47E6">
        <w:rPr>
          <w:rFonts w:eastAsiaTheme="majorEastAsia"/>
          <w:color w:val="000000" w:themeColor="text1"/>
          <w:sz w:val="22"/>
          <w:szCs w:val="22"/>
        </w:rPr>
        <w:t xml:space="preserve">, </w:t>
      </w:r>
      <w:r>
        <w:rPr>
          <w:rFonts w:eastAsiaTheme="majorEastAsia"/>
          <w:i/>
          <w:color w:val="000000" w:themeColor="text1"/>
          <w:sz w:val="22"/>
          <w:szCs w:val="22"/>
        </w:rPr>
        <w:t>Aeneis</w:t>
      </w:r>
      <w:r w:rsidRPr="00800E67">
        <w:rPr>
          <w:rFonts w:eastAsiaTheme="majorEastAsia"/>
          <w:color w:val="000000" w:themeColor="text1"/>
          <w:sz w:val="22"/>
          <w:szCs w:val="22"/>
        </w:rPr>
        <w:t xml:space="preserve">       </w:t>
      </w:r>
      <w:r w:rsidRPr="00800E67">
        <w:rPr>
          <w:rFonts w:eastAsiaTheme="majorEastAsia"/>
          <w:color w:val="000000" w:themeColor="text1"/>
          <w:sz w:val="22"/>
          <w:szCs w:val="22"/>
        </w:rPr>
        <w:tab/>
      </w:r>
    </w:p>
    <w:p w:rsidR="00804710" w:rsidRDefault="00804710" w:rsidP="00804710">
      <w:pPr>
        <w:suppressLineNumbers/>
        <w:spacing w:after="120"/>
      </w:pPr>
    </w:p>
    <w:p w:rsidR="00804710" w:rsidRPr="00456D58" w:rsidRDefault="00667B68" w:rsidP="00987896">
      <w:pPr>
        <w:suppressLineNumbers/>
        <w:spacing w:after="200"/>
        <w:jc w:val="center"/>
        <w:rPr>
          <w:rFonts w:cs="Arial"/>
          <w:b/>
          <w:i/>
          <w:sz w:val="36"/>
          <w:szCs w:val="36"/>
        </w:rPr>
      </w:pPr>
      <w:r w:rsidRPr="00456D58">
        <w:rPr>
          <w:rFonts w:cs="Arial"/>
          <w:b/>
          <w:sz w:val="36"/>
          <w:szCs w:val="36"/>
        </w:rPr>
        <w:t xml:space="preserve">Epische </w:t>
      </w:r>
      <w:r w:rsidR="00804710" w:rsidRPr="00456D58">
        <w:rPr>
          <w:rFonts w:cs="Arial"/>
          <w:b/>
          <w:sz w:val="36"/>
          <w:szCs w:val="36"/>
        </w:rPr>
        <w:t xml:space="preserve">Gattungsmerkmale und Stilelemente </w:t>
      </w:r>
      <w:r w:rsidRPr="00456D58">
        <w:rPr>
          <w:rFonts w:cs="Arial"/>
          <w:b/>
          <w:sz w:val="36"/>
          <w:szCs w:val="36"/>
        </w:rPr>
        <w:t>in</w:t>
      </w:r>
      <w:r w:rsidR="00804710" w:rsidRPr="00456D58">
        <w:rPr>
          <w:rFonts w:cs="Arial"/>
          <w:b/>
          <w:sz w:val="36"/>
          <w:szCs w:val="36"/>
        </w:rPr>
        <w:t xml:space="preserve"> Vergils </w:t>
      </w:r>
      <w:r w:rsidR="00804710" w:rsidRPr="00456D58">
        <w:rPr>
          <w:rFonts w:cs="Arial"/>
          <w:b/>
          <w:i/>
          <w:sz w:val="36"/>
          <w:szCs w:val="36"/>
        </w:rPr>
        <w:t>Aeneis</w:t>
      </w:r>
    </w:p>
    <w:tbl>
      <w:tblPr>
        <w:tblStyle w:val="Tabellenraster"/>
        <w:tblW w:w="0" w:type="auto"/>
        <w:tblLook w:val="04A0" w:firstRow="1" w:lastRow="0" w:firstColumn="1" w:lastColumn="0" w:noHBand="0" w:noVBand="1"/>
      </w:tblPr>
      <w:tblGrid>
        <w:gridCol w:w="5042"/>
        <w:gridCol w:w="5042"/>
        <w:gridCol w:w="5042"/>
      </w:tblGrid>
      <w:tr w:rsidR="00AD1858" w:rsidTr="00C85A6A">
        <w:trPr>
          <w:trHeight w:val="850"/>
        </w:trPr>
        <w:tc>
          <w:tcPr>
            <w:tcW w:w="5042" w:type="dxa"/>
            <w:shd w:val="clear" w:color="auto" w:fill="D9D9D9" w:themeFill="background1" w:themeFillShade="D9"/>
            <w:vAlign w:val="center"/>
          </w:tcPr>
          <w:p w:rsidR="00AD1858" w:rsidRDefault="00AD1858" w:rsidP="00AD1858">
            <w:pPr>
              <w:suppressLineNumbers/>
              <w:jc w:val="center"/>
              <w:rPr>
                <w:b/>
              </w:rPr>
            </w:pPr>
            <w:r>
              <w:rPr>
                <w:b/>
              </w:rPr>
              <w:t xml:space="preserve">Lat. Textstelle </w:t>
            </w:r>
          </w:p>
          <w:p w:rsidR="00AD1858" w:rsidRPr="00AD1858" w:rsidRDefault="00AD1858" w:rsidP="00AD1858">
            <w:pPr>
              <w:suppressLineNumbers/>
              <w:jc w:val="center"/>
              <w:rPr>
                <w:b/>
              </w:rPr>
            </w:pPr>
            <w:r>
              <w:rPr>
                <w:b/>
              </w:rPr>
              <w:t>mit Kernzitat bzw. Inhaltsangabe</w:t>
            </w:r>
          </w:p>
        </w:tc>
        <w:tc>
          <w:tcPr>
            <w:tcW w:w="5042" w:type="dxa"/>
            <w:shd w:val="clear" w:color="auto" w:fill="D9D9D9" w:themeFill="background1" w:themeFillShade="D9"/>
            <w:vAlign w:val="center"/>
          </w:tcPr>
          <w:p w:rsidR="007D3D08" w:rsidRDefault="00AD1858" w:rsidP="00AD1858">
            <w:pPr>
              <w:suppressLineNumbers/>
              <w:jc w:val="center"/>
              <w:rPr>
                <w:b/>
              </w:rPr>
            </w:pPr>
            <w:r>
              <w:rPr>
                <w:b/>
              </w:rPr>
              <w:t xml:space="preserve">Episches Gattungsmerkmal </w:t>
            </w:r>
          </w:p>
          <w:p w:rsidR="00AD1858" w:rsidRPr="00AD1858" w:rsidRDefault="00AD1858" w:rsidP="00AD1858">
            <w:pPr>
              <w:suppressLineNumbers/>
              <w:jc w:val="center"/>
              <w:rPr>
                <w:b/>
              </w:rPr>
            </w:pPr>
            <w:r>
              <w:rPr>
                <w:b/>
              </w:rPr>
              <w:t>oder Stilelement</w:t>
            </w:r>
          </w:p>
        </w:tc>
        <w:tc>
          <w:tcPr>
            <w:tcW w:w="5042" w:type="dxa"/>
            <w:shd w:val="clear" w:color="auto" w:fill="D9D9D9" w:themeFill="background1" w:themeFillShade="D9"/>
            <w:vAlign w:val="center"/>
          </w:tcPr>
          <w:p w:rsidR="00AD1858" w:rsidRPr="00AD1858" w:rsidRDefault="00AD1858" w:rsidP="00AD1858">
            <w:pPr>
              <w:suppressLineNumbers/>
              <w:jc w:val="center"/>
              <w:rPr>
                <w:b/>
              </w:rPr>
            </w:pPr>
            <w:r>
              <w:rPr>
                <w:b/>
              </w:rPr>
              <w:t>Besonderheit bei Vergil</w:t>
            </w:r>
          </w:p>
        </w:tc>
      </w:tr>
      <w:tr w:rsidR="00AD1858" w:rsidTr="00987896">
        <w:trPr>
          <w:trHeight w:val="8391"/>
        </w:trPr>
        <w:tc>
          <w:tcPr>
            <w:tcW w:w="5042" w:type="dxa"/>
          </w:tcPr>
          <w:p w:rsidR="00AD1858" w:rsidRDefault="00AD1858" w:rsidP="00AD1858">
            <w:pPr>
              <w:suppressLineNumbers/>
              <w:jc w:val="both"/>
            </w:pPr>
          </w:p>
        </w:tc>
        <w:tc>
          <w:tcPr>
            <w:tcW w:w="5042" w:type="dxa"/>
          </w:tcPr>
          <w:p w:rsidR="00AD1858" w:rsidRDefault="00AD1858" w:rsidP="00AD1858">
            <w:pPr>
              <w:suppressLineNumbers/>
              <w:jc w:val="both"/>
            </w:pPr>
          </w:p>
        </w:tc>
        <w:tc>
          <w:tcPr>
            <w:tcW w:w="5042" w:type="dxa"/>
          </w:tcPr>
          <w:p w:rsidR="00AD1858" w:rsidRDefault="00AD1858" w:rsidP="00AD1858">
            <w:pPr>
              <w:suppressLineNumbers/>
              <w:jc w:val="both"/>
            </w:pPr>
          </w:p>
        </w:tc>
      </w:tr>
    </w:tbl>
    <w:p w:rsidR="00804710" w:rsidRPr="00632F6A" w:rsidRDefault="00804710" w:rsidP="00804710">
      <w:pPr>
        <w:suppressLineNumbers/>
        <w:spacing w:after="100" w:line="276" w:lineRule="auto"/>
        <w:jc w:val="both"/>
        <w:rPr>
          <w:sz w:val="2"/>
          <w:szCs w:val="2"/>
        </w:rPr>
      </w:pPr>
    </w:p>
    <w:sectPr w:rsidR="00804710" w:rsidRPr="00632F6A" w:rsidSect="00804710">
      <w:pgSz w:w="16838" w:h="11906" w:orient="landscape"/>
      <w:pgMar w:top="567" w:right="851" w:bottom="567" w:left="851" w:header="709" w:footer="709" w:gutter="0"/>
      <w:lnNumType w:countBy="3" w:distance="142"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2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A6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62C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203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8D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34A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FA35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8B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26C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4C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16D15"/>
    <w:multiLevelType w:val="hybridMultilevel"/>
    <w:tmpl w:val="F8E29F48"/>
    <w:lvl w:ilvl="0" w:tplc="12128062">
      <w:start w:val="1"/>
      <w:numFmt w:val="lowerLetter"/>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003219"/>
    <w:multiLevelType w:val="hybridMultilevel"/>
    <w:tmpl w:val="5ED6B7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6E34B5"/>
    <w:multiLevelType w:val="hybridMultilevel"/>
    <w:tmpl w:val="1A1016D4"/>
    <w:lvl w:ilvl="0" w:tplc="087825B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24D34F7"/>
    <w:multiLevelType w:val="hybridMultilevel"/>
    <w:tmpl w:val="914A5B20"/>
    <w:lvl w:ilvl="0" w:tplc="12128062">
      <w:start w:val="1"/>
      <w:numFmt w:val="lowerLetter"/>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C9"/>
    <w:rsid w:val="00023965"/>
    <w:rsid w:val="00070532"/>
    <w:rsid w:val="00080112"/>
    <w:rsid w:val="000957C3"/>
    <w:rsid w:val="000A79C4"/>
    <w:rsid w:val="000F1956"/>
    <w:rsid w:val="00102F6F"/>
    <w:rsid w:val="00131179"/>
    <w:rsid w:val="00222D98"/>
    <w:rsid w:val="002A35C9"/>
    <w:rsid w:val="002E1387"/>
    <w:rsid w:val="002F69D1"/>
    <w:rsid w:val="003D0270"/>
    <w:rsid w:val="00456D58"/>
    <w:rsid w:val="004B0C37"/>
    <w:rsid w:val="004D2E4C"/>
    <w:rsid w:val="0050733F"/>
    <w:rsid w:val="005C6881"/>
    <w:rsid w:val="005F7AA5"/>
    <w:rsid w:val="00632F6A"/>
    <w:rsid w:val="006534BE"/>
    <w:rsid w:val="006609CA"/>
    <w:rsid w:val="00667B68"/>
    <w:rsid w:val="006C3CD4"/>
    <w:rsid w:val="00716A56"/>
    <w:rsid w:val="007D3D08"/>
    <w:rsid w:val="007E3836"/>
    <w:rsid w:val="007F1480"/>
    <w:rsid w:val="007F2AE2"/>
    <w:rsid w:val="007F5129"/>
    <w:rsid w:val="008040B8"/>
    <w:rsid w:val="00804710"/>
    <w:rsid w:val="00823739"/>
    <w:rsid w:val="00851466"/>
    <w:rsid w:val="008602F1"/>
    <w:rsid w:val="0086793C"/>
    <w:rsid w:val="008769BD"/>
    <w:rsid w:val="008A5259"/>
    <w:rsid w:val="008F69F3"/>
    <w:rsid w:val="00922694"/>
    <w:rsid w:val="00952EF1"/>
    <w:rsid w:val="00987896"/>
    <w:rsid w:val="00A1461E"/>
    <w:rsid w:val="00AD1858"/>
    <w:rsid w:val="00B02B87"/>
    <w:rsid w:val="00B77DAE"/>
    <w:rsid w:val="00BA2D9F"/>
    <w:rsid w:val="00BE6DD6"/>
    <w:rsid w:val="00C23DB6"/>
    <w:rsid w:val="00C8295F"/>
    <w:rsid w:val="00C85A6A"/>
    <w:rsid w:val="00C92241"/>
    <w:rsid w:val="00CA133B"/>
    <w:rsid w:val="00D96D50"/>
    <w:rsid w:val="00DF7F8A"/>
    <w:rsid w:val="00E0111B"/>
    <w:rsid w:val="00E2072C"/>
    <w:rsid w:val="00E55FBD"/>
    <w:rsid w:val="00ED1C2B"/>
    <w:rsid w:val="00ED633F"/>
    <w:rsid w:val="00EE06E5"/>
    <w:rsid w:val="00F13811"/>
    <w:rsid w:val="00F45923"/>
    <w:rsid w:val="00F82674"/>
    <w:rsid w:val="00F830A0"/>
    <w:rsid w:val="00FC2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2CEC2-6DE5-4784-B83D-28137080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133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35C9"/>
    <w:pPr>
      <w:tabs>
        <w:tab w:val="center" w:pos="4536"/>
        <w:tab w:val="right" w:pos="9072"/>
      </w:tabs>
      <w:spacing w:after="0" w:line="240" w:lineRule="auto"/>
    </w:pPr>
    <w:rPr>
      <w:rFonts w:cs="Arial"/>
      <w:sz w:val="24"/>
      <w:szCs w:val="24"/>
    </w:rPr>
  </w:style>
  <w:style w:type="character" w:customStyle="1" w:styleId="KopfzeileZchn">
    <w:name w:val="Kopfzeile Zchn"/>
    <w:basedOn w:val="Absatz-Standardschriftart"/>
    <w:link w:val="Kopfzeile"/>
    <w:uiPriority w:val="99"/>
    <w:rsid w:val="002A35C9"/>
    <w:rPr>
      <w:rFonts w:ascii="Arial" w:hAnsi="Arial" w:cs="Arial"/>
      <w:sz w:val="24"/>
      <w:szCs w:val="24"/>
    </w:rPr>
  </w:style>
  <w:style w:type="character" w:styleId="Zeilennummer">
    <w:name w:val="line number"/>
    <w:basedOn w:val="Absatz-Standardschriftart"/>
    <w:uiPriority w:val="99"/>
    <w:unhideWhenUsed/>
    <w:rsid w:val="00CA133B"/>
    <w:rPr>
      <w:rFonts w:ascii="Arial" w:hAnsi="Arial"/>
      <w:sz w:val="20"/>
    </w:rPr>
  </w:style>
  <w:style w:type="paragraph" w:styleId="Listenabsatz">
    <w:name w:val="List Paragraph"/>
    <w:basedOn w:val="Standard"/>
    <w:uiPriority w:val="34"/>
    <w:qFormat/>
    <w:rsid w:val="008A5259"/>
    <w:pPr>
      <w:ind w:left="720"/>
      <w:contextualSpacing/>
    </w:pPr>
  </w:style>
  <w:style w:type="table" w:styleId="Tabellenraster">
    <w:name w:val="Table Grid"/>
    <w:basedOn w:val="NormaleTabelle"/>
    <w:uiPriority w:val="39"/>
    <w:rsid w:val="00AD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A0F4A-AA94-4303-9CA6-6A6DE18F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dc:creator>
  <cp:keywords/>
  <dc:description/>
  <cp:lastModifiedBy>tbeis</cp:lastModifiedBy>
  <cp:revision>2</cp:revision>
  <dcterms:created xsi:type="dcterms:W3CDTF">2023-02-28T16:38:00Z</dcterms:created>
  <dcterms:modified xsi:type="dcterms:W3CDTF">2023-02-28T16:38:00Z</dcterms:modified>
</cp:coreProperties>
</file>